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A1" w:rsidRDefault="006A67C5" w:rsidP="00497088">
      <w:pPr>
        <w:widowControl/>
        <w:shd w:val="clear" w:color="auto" w:fill="FFFFFF"/>
        <w:rPr>
          <w:rFonts w:ascii="微軟正黑體" w:eastAsia="微軟正黑體" w:hAnsi="微軟正黑體" w:cs="新細明體" w:hint="eastAsia"/>
          <w:color w:val="292929"/>
          <w:kern w:val="0"/>
          <w:szCs w:val="24"/>
        </w:rPr>
      </w:pPr>
      <w:r>
        <w:rPr>
          <w:rFonts w:ascii="微軟正黑體" w:eastAsia="微軟正黑體" w:hAnsi="微軟正黑體" w:cs="新細明體"/>
          <w:color w:val="292929"/>
          <w:kern w:val="0"/>
          <w:szCs w:val="24"/>
        </w:rPr>
        <w:fldChar w:fldCharType="begin"/>
      </w:r>
      <w:r>
        <w:rPr>
          <w:rFonts w:ascii="微軟正黑體" w:eastAsia="微軟正黑體" w:hAnsi="微軟正黑體" w:cs="新細明體"/>
          <w:color w:val="292929"/>
          <w:kern w:val="0"/>
          <w:szCs w:val="24"/>
        </w:rPr>
        <w:instrText xml:space="preserve"> HYPERLINK "https://www.greenschool.moe.edu.tw/gs2/partner/item.aspx?k=AD0C9AA540BD6AE0E547FE8EAF35321B" </w:instrText>
      </w:r>
      <w:r>
        <w:rPr>
          <w:rFonts w:ascii="微軟正黑體" w:eastAsia="微軟正黑體" w:hAnsi="微軟正黑體" w:cs="新細明體"/>
          <w:color w:val="292929"/>
          <w:kern w:val="0"/>
          <w:szCs w:val="24"/>
        </w:rPr>
        <w:fldChar w:fldCharType="separate"/>
      </w:r>
      <w:r w:rsidRPr="006A67C5">
        <w:rPr>
          <w:rStyle w:val="a3"/>
          <w:rFonts w:ascii="微軟正黑體" w:eastAsia="微軟正黑體" w:hAnsi="微軟正黑體" w:cs="新細明體" w:hint="eastAsia"/>
          <w:kern w:val="0"/>
          <w:szCs w:val="24"/>
        </w:rPr>
        <w:t>桃園地景藝術節參訪(604)</w:t>
      </w:r>
      <w:r>
        <w:rPr>
          <w:rFonts w:ascii="微軟正黑體" w:eastAsia="微軟正黑體" w:hAnsi="微軟正黑體" w:cs="新細明體"/>
          <w:color w:val="292929"/>
          <w:kern w:val="0"/>
          <w:szCs w:val="24"/>
        </w:rPr>
        <w:fldChar w:fldCharType="end"/>
      </w:r>
    </w:p>
    <w:p w:rsidR="00497088" w:rsidRPr="00497088" w:rsidRDefault="006A28A1" w:rsidP="00497088">
      <w:pPr>
        <w:widowControl/>
        <w:shd w:val="clear" w:color="auto" w:fill="FFFFFF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hyperlink r:id="rId6" w:history="1">
        <w:r w:rsidRPr="006A28A1">
          <w:rPr>
            <w:rStyle w:val="a3"/>
            <w:rFonts w:ascii="微軟正黑體" w:eastAsia="微軟正黑體" w:hAnsi="微軟正黑體" w:cs="新細明體" w:hint="eastAsia"/>
            <w:kern w:val="0"/>
            <w:szCs w:val="24"/>
          </w:rPr>
          <w:t>活動照</w:t>
        </w:r>
        <w:r w:rsidRPr="006A28A1">
          <w:rPr>
            <w:rStyle w:val="a3"/>
            <w:rFonts w:ascii="微軟正黑體" w:eastAsia="微軟正黑體" w:hAnsi="微軟正黑體" w:cs="新細明體" w:hint="eastAsia"/>
            <w:kern w:val="0"/>
            <w:szCs w:val="24"/>
          </w:rPr>
          <w:t>片</w:t>
        </w:r>
        <w:r w:rsidRPr="006A28A1">
          <w:rPr>
            <w:rStyle w:val="a3"/>
            <w:rFonts w:ascii="微軟正黑體" w:eastAsia="微軟正黑體" w:hAnsi="微軟正黑體" w:cs="新細明體" w:hint="eastAsia"/>
            <w:kern w:val="0"/>
            <w:szCs w:val="24"/>
          </w:rPr>
          <w:t>連結</w:t>
        </w:r>
      </w:hyperlink>
      <w:r w:rsidR="00497088"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br/>
        <w:t>瀏覽數：43</w:t>
      </w:r>
    </w:p>
    <w:p w:rsidR="00497088" w:rsidRPr="00497088" w:rsidRDefault="00497088" w:rsidP="00497088">
      <w:pPr>
        <w:widowControl/>
        <w:shd w:val="clear" w:color="auto" w:fill="FFFFFF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葉片數：</w:t>
      </w:r>
      <w:hyperlink r:id="rId7" w:history="1">
        <w:r w:rsidRPr="00497088">
          <w:rPr>
            <w:rFonts w:ascii="微軟正黑體" w:eastAsia="微軟正黑體" w:hAnsi="微軟正黑體" w:cs="新細明體" w:hint="eastAsia"/>
            <w:color w:val="1242BA"/>
            <w:kern w:val="0"/>
            <w:szCs w:val="24"/>
            <w:u w:val="single"/>
          </w:rPr>
          <w:t>2</w:t>
        </w:r>
      </w:hyperlink>
    </w:p>
    <w:p w:rsidR="00497088" w:rsidRPr="00497088" w:rsidRDefault="00497088" w:rsidP="00497088">
      <w:pPr>
        <w:widowControl/>
        <w:shd w:val="clear" w:color="auto" w:fill="FFFFFF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澆水器：0</w:t>
      </w:r>
    </w:p>
    <w:p w:rsidR="00497088" w:rsidRPr="00497088" w:rsidRDefault="00497088" w:rsidP="00497088">
      <w:pPr>
        <w:widowControl/>
        <w:shd w:val="clear" w:color="auto" w:fill="F0F0F0"/>
        <w:spacing w:after="100" w:afterAutospacing="1"/>
        <w:outlineLvl w:val="2"/>
        <w:rPr>
          <w:rFonts w:ascii="inherit" w:eastAsia="微軟正黑體" w:hAnsi="inherit" w:cs="新細明體" w:hint="eastAsia"/>
          <w:b/>
          <w:bCs/>
          <w:color w:val="292929"/>
          <w:kern w:val="0"/>
          <w:sz w:val="27"/>
          <w:szCs w:val="27"/>
        </w:rPr>
      </w:pPr>
      <w:r w:rsidRPr="00497088">
        <w:rPr>
          <w:rFonts w:ascii="inherit" w:eastAsia="微軟正黑體" w:hAnsi="inherit" w:cs="新細明體"/>
          <w:b/>
          <w:bCs/>
          <w:color w:val="292929"/>
          <w:kern w:val="0"/>
          <w:sz w:val="27"/>
          <w:szCs w:val="27"/>
        </w:rPr>
        <w:t>桃園地景藝術節參訪</w:t>
      </w:r>
      <w:r w:rsidRPr="00497088">
        <w:rPr>
          <w:rFonts w:ascii="inherit" w:eastAsia="微軟正黑體" w:hAnsi="inherit" w:cs="新細明體"/>
          <w:b/>
          <w:bCs/>
          <w:color w:val="292929"/>
          <w:kern w:val="0"/>
          <w:sz w:val="27"/>
          <w:szCs w:val="27"/>
        </w:rPr>
        <w:t>(604)</w:t>
      </w:r>
    </w:p>
    <w:p w:rsidR="00497088" w:rsidRPr="00497088" w:rsidRDefault="00497088" w:rsidP="00497088">
      <w:pPr>
        <w:widowControl/>
        <w:shd w:val="clear" w:color="auto" w:fill="F0F0F0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發表日期：2022-10-04</w:t>
      </w:r>
    </w:p>
    <w:p w:rsidR="00497088" w:rsidRPr="00497088" w:rsidRDefault="00497088" w:rsidP="00497088">
      <w:pPr>
        <w:widowControl/>
        <w:shd w:val="clear" w:color="auto" w:fill="F0F0F0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發表人：</w:t>
      </w:r>
      <w:proofErr w:type="gramStart"/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hope</w:t>
      </w:r>
      <w:proofErr w:type="gramEnd"/>
    </w:p>
    <w:p w:rsidR="00497088" w:rsidRPr="00497088" w:rsidRDefault="00AB6B5D" w:rsidP="00497088">
      <w:pPr>
        <w:widowControl/>
        <w:shd w:val="clear" w:color="auto" w:fill="F0F0F0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>
        <w:rPr>
          <w:rFonts w:ascii="微軟正黑體" w:eastAsia="微軟正黑體" w:hAnsi="微軟正黑體" w:cs="新細明體"/>
          <w:color w:val="292929"/>
          <w:kern w:val="0"/>
          <w:szCs w:val="24"/>
        </w:rPr>
        <w:pict>
          <v:rect id="_x0000_i1025" style="width:0;height:0" o:hralign="center" o:hrstd="t" o:hr="t" fillcolor="#a0a0a0" stroked="f"/>
        </w:pict>
      </w:r>
    </w:p>
    <w:p w:rsidR="00497088" w:rsidRPr="00497088" w:rsidRDefault="00497088" w:rsidP="00497088">
      <w:pPr>
        <w:widowControl/>
        <w:numPr>
          <w:ilvl w:val="0"/>
          <w:numId w:val="1"/>
        </w:numPr>
        <w:shd w:val="clear" w:color="auto" w:fill="F0F0F0"/>
        <w:spacing w:before="100" w:beforeAutospacing="1" w:after="100" w:afterAutospacing="1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b/>
          <w:bCs/>
          <w:color w:val="0066BB"/>
          <w:kern w:val="0"/>
          <w:szCs w:val="24"/>
        </w:rPr>
        <w:t>環境議題：</w:t>
      </w: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環境藝術</w:t>
      </w:r>
    </w:p>
    <w:p w:rsidR="00497088" w:rsidRPr="00497088" w:rsidRDefault="00497088" w:rsidP="00497088">
      <w:pPr>
        <w:widowControl/>
        <w:numPr>
          <w:ilvl w:val="0"/>
          <w:numId w:val="1"/>
        </w:numPr>
        <w:shd w:val="clear" w:color="auto" w:fill="F0F0F0"/>
        <w:spacing w:before="100" w:beforeAutospacing="1" w:after="100" w:afterAutospacing="1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b/>
          <w:bCs/>
          <w:color w:val="0066BB"/>
          <w:kern w:val="0"/>
          <w:szCs w:val="24"/>
        </w:rPr>
        <w:t>執行方法：</w:t>
      </w: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戶外教學/解說</w:t>
      </w:r>
    </w:p>
    <w:p w:rsidR="00497088" w:rsidRPr="00497088" w:rsidRDefault="00497088" w:rsidP="00497088">
      <w:pPr>
        <w:widowControl/>
        <w:numPr>
          <w:ilvl w:val="0"/>
          <w:numId w:val="1"/>
        </w:numPr>
        <w:shd w:val="clear" w:color="auto" w:fill="F0F0F0"/>
        <w:spacing w:before="100" w:beforeAutospacing="1" w:after="100" w:afterAutospacing="1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b/>
          <w:bCs/>
          <w:color w:val="0066BB"/>
          <w:kern w:val="0"/>
          <w:szCs w:val="24"/>
        </w:rPr>
        <w:t>教育階段：</w:t>
      </w: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國民小學</w:t>
      </w:r>
    </w:p>
    <w:p w:rsidR="00497088" w:rsidRPr="00497088" w:rsidRDefault="00497088" w:rsidP="00497088">
      <w:pPr>
        <w:widowControl/>
        <w:numPr>
          <w:ilvl w:val="0"/>
          <w:numId w:val="1"/>
        </w:numPr>
        <w:shd w:val="clear" w:color="auto" w:fill="F0F0F0"/>
        <w:spacing w:before="100" w:beforeAutospacing="1" w:after="100" w:afterAutospacing="1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b/>
          <w:bCs/>
          <w:color w:val="0066BB"/>
          <w:kern w:val="0"/>
          <w:szCs w:val="24"/>
        </w:rPr>
        <w:t>學習議題：</w:t>
      </w: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永續發展</w:t>
      </w:r>
    </w:p>
    <w:p w:rsidR="00497088" w:rsidRPr="00497088" w:rsidRDefault="00497088" w:rsidP="00497088">
      <w:pPr>
        <w:widowControl/>
        <w:numPr>
          <w:ilvl w:val="0"/>
          <w:numId w:val="1"/>
        </w:numPr>
        <w:shd w:val="clear" w:color="auto" w:fill="F0F0F0"/>
        <w:spacing w:before="100" w:beforeAutospacing="1" w:after="100" w:afterAutospacing="1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b/>
          <w:bCs/>
          <w:color w:val="0066BB"/>
          <w:kern w:val="0"/>
          <w:szCs w:val="24"/>
        </w:rPr>
        <w:t>議題實質內涵：</w:t>
      </w: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E29 覺知人類發展〈經濟發展與工業發展〉對環境的衝擊</w:t>
      </w:r>
    </w:p>
    <w:p w:rsidR="00497088" w:rsidRPr="00497088" w:rsidRDefault="00497088" w:rsidP="00497088">
      <w:pPr>
        <w:widowControl/>
        <w:numPr>
          <w:ilvl w:val="0"/>
          <w:numId w:val="1"/>
        </w:numPr>
        <w:shd w:val="clear" w:color="auto" w:fill="F0F0F0"/>
        <w:spacing w:before="100" w:beforeAutospacing="1" w:after="100" w:afterAutospacing="1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b/>
          <w:bCs/>
          <w:color w:val="0066BB"/>
          <w:kern w:val="0"/>
          <w:szCs w:val="24"/>
        </w:rPr>
        <w:t>策劃/執行人：</w:t>
      </w: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林美淑</w:t>
      </w:r>
    </w:p>
    <w:p w:rsidR="00497088" w:rsidRPr="00497088" w:rsidRDefault="00497088" w:rsidP="00497088">
      <w:pPr>
        <w:widowControl/>
        <w:numPr>
          <w:ilvl w:val="0"/>
          <w:numId w:val="1"/>
        </w:numPr>
        <w:shd w:val="clear" w:color="auto" w:fill="F0F0F0"/>
        <w:spacing w:before="100" w:beforeAutospacing="1" w:after="100" w:afterAutospacing="1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b/>
          <w:bCs/>
          <w:color w:val="0066BB"/>
          <w:kern w:val="0"/>
          <w:szCs w:val="24"/>
        </w:rPr>
        <w:t>動機：</w:t>
      </w: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教案活動單元點子</w:t>
      </w:r>
    </w:p>
    <w:p w:rsidR="00497088" w:rsidRPr="00497088" w:rsidRDefault="00497088" w:rsidP="00497088">
      <w:pPr>
        <w:widowControl/>
        <w:numPr>
          <w:ilvl w:val="0"/>
          <w:numId w:val="1"/>
        </w:numPr>
        <w:shd w:val="clear" w:color="auto" w:fill="F0F0F0"/>
        <w:spacing w:before="100" w:beforeAutospacing="1" w:after="100" w:afterAutospacing="1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b/>
          <w:bCs/>
          <w:color w:val="0066BB"/>
          <w:kern w:val="0"/>
          <w:szCs w:val="24"/>
        </w:rPr>
        <w:t>目標範圍：</w:t>
      </w: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班級性</w:t>
      </w:r>
    </w:p>
    <w:p w:rsidR="00497088" w:rsidRPr="00497088" w:rsidRDefault="00497088" w:rsidP="00497088">
      <w:pPr>
        <w:widowControl/>
        <w:numPr>
          <w:ilvl w:val="0"/>
          <w:numId w:val="1"/>
        </w:numPr>
        <w:shd w:val="clear" w:color="auto" w:fill="F0F0F0"/>
        <w:spacing w:before="100" w:beforeAutospacing="1" w:after="100" w:afterAutospacing="1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b/>
          <w:bCs/>
          <w:color w:val="0066BB"/>
          <w:kern w:val="0"/>
          <w:szCs w:val="24"/>
        </w:rPr>
        <w:t>難易度：</w:t>
      </w: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普通</w:t>
      </w:r>
    </w:p>
    <w:p w:rsidR="00497088" w:rsidRPr="00497088" w:rsidRDefault="00497088" w:rsidP="00497088">
      <w:pPr>
        <w:widowControl/>
        <w:numPr>
          <w:ilvl w:val="0"/>
          <w:numId w:val="1"/>
        </w:numPr>
        <w:shd w:val="clear" w:color="auto" w:fill="F0F0F0"/>
        <w:spacing w:before="100" w:beforeAutospacing="1" w:after="100" w:afterAutospacing="1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b/>
          <w:bCs/>
          <w:color w:val="0066BB"/>
          <w:kern w:val="0"/>
          <w:szCs w:val="24"/>
        </w:rPr>
        <w:lastRenderedPageBreak/>
        <w:t>實施期間：</w:t>
      </w: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1110920</w:t>
      </w:r>
    </w:p>
    <w:p w:rsidR="00497088" w:rsidRPr="00497088" w:rsidRDefault="00497088" w:rsidP="00497088">
      <w:pPr>
        <w:widowControl/>
        <w:numPr>
          <w:ilvl w:val="0"/>
          <w:numId w:val="1"/>
        </w:numPr>
        <w:shd w:val="clear" w:color="auto" w:fill="F0F0F0"/>
        <w:spacing w:before="100" w:beforeAutospacing="1" w:after="100" w:afterAutospacing="1"/>
        <w:rPr>
          <w:rFonts w:ascii="微軟正黑體" w:eastAsia="微軟正黑體" w:hAnsi="微軟正黑體" w:cs="新細明體"/>
          <w:color w:val="292929"/>
          <w:kern w:val="0"/>
          <w:szCs w:val="24"/>
        </w:rPr>
      </w:pPr>
      <w:r w:rsidRPr="00497088">
        <w:rPr>
          <w:rFonts w:ascii="微軟正黑體" w:eastAsia="微軟正黑體" w:hAnsi="微軟正黑體" w:cs="新細明體" w:hint="eastAsia"/>
          <w:b/>
          <w:bCs/>
          <w:color w:val="0066BB"/>
          <w:kern w:val="0"/>
          <w:szCs w:val="24"/>
        </w:rPr>
        <w:t>參與人數：</w:t>
      </w:r>
      <w:r w:rsidRPr="00497088">
        <w:rPr>
          <w:rFonts w:ascii="微軟正黑體" w:eastAsia="微軟正黑體" w:hAnsi="微軟正黑體" w:cs="新細明體" w:hint="eastAsia"/>
          <w:color w:val="292929"/>
          <w:kern w:val="0"/>
          <w:szCs w:val="24"/>
        </w:rPr>
        <w:t>28</w:t>
      </w:r>
    </w:p>
    <w:p w:rsidR="00497088" w:rsidRPr="00497088" w:rsidRDefault="00497088" w:rsidP="00497088">
      <w:pPr>
        <w:widowControl/>
        <w:shd w:val="clear" w:color="auto" w:fill="FFFFFF"/>
        <w:spacing w:after="100" w:afterAutospacing="1"/>
        <w:outlineLvl w:val="3"/>
        <w:rPr>
          <w:rFonts w:ascii="inherit" w:eastAsia="微軟正黑體" w:hAnsi="inherit" w:cs="新細明體" w:hint="eastAsia"/>
          <w:b/>
          <w:bCs/>
          <w:color w:val="292929"/>
          <w:kern w:val="0"/>
          <w:szCs w:val="24"/>
        </w:rPr>
      </w:pPr>
      <w:r w:rsidRPr="00497088">
        <w:rPr>
          <w:rFonts w:ascii="inherit" w:eastAsia="微軟正黑體" w:hAnsi="inherit" w:cs="新細明體"/>
          <w:b/>
          <w:bCs/>
          <w:color w:val="292929"/>
          <w:kern w:val="0"/>
          <w:szCs w:val="24"/>
        </w:rPr>
        <w:t>目標：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>1.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學生能認識家鄉</w:t>
      </w:r>
      <w:proofErr w:type="gramStart"/>
      <w:r w:rsidRPr="00497088">
        <w:rPr>
          <w:rFonts w:ascii="Consolas" w:eastAsia="細明體" w:hAnsi="Consolas" w:cs="Consolas"/>
          <w:color w:val="474747"/>
          <w:kern w:val="0"/>
          <w:szCs w:val="24"/>
        </w:rPr>
        <w:t>的河階地形</w:t>
      </w:r>
      <w:proofErr w:type="gramEnd"/>
      <w:r w:rsidRPr="00497088">
        <w:rPr>
          <w:rFonts w:ascii="Consolas" w:eastAsia="細明體" w:hAnsi="Consolas" w:cs="Consolas"/>
          <w:color w:val="474747"/>
          <w:kern w:val="0"/>
          <w:szCs w:val="24"/>
        </w:rPr>
        <w:t>特色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>2.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學生能認識家鄉的水文特色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>3.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學生能多元族群文化藝術圖騰特色</w:t>
      </w:r>
    </w:p>
    <w:p w:rsidR="00497088" w:rsidRPr="00497088" w:rsidRDefault="00497088" w:rsidP="00497088">
      <w:pPr>
        <w:widowControl/>
        <w:shd w:val="clear" w:color="auto" w:fill="FFFFFF"/>
        <w:spacing w:after="100" w:afterAutospacing="1"/>
        <w:outlineLvl w:val="3"/>
        <w:rPr>
          <w:rFonts w:ascii="inherit" w:eastAsia="微軟正黑體" w:hAnsi="inherit" w:cs="新細明體" w:hint="eastAsia"/>
          <w:b/>
          <w:bCs/>
          <w:color w:val="292929"/>
          <w:kern w:val="0"/>
          <w:szCs w:val="24"/>
        </w:rPr>
      </w:pPr>
      <w:r w:rsidRPr="00497088">
        <w:rPr>
          <w:rFonts w:ascii="inherit" w:eastAsia="微軟正黑體" w:hAnsi="inherit" w:cs="新細明體"/>
          <w:b/>
          <w:bCs/>
          <w:color w:val="292929"/>
          <w:kern w:val="0"/>
          <w:szCs w:val="24"/>
        </w:rPr>
        <w:t>進行方式：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>1.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在山豬湖生態園區及月眉濕地進行河川濕地生態變化說明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>2.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在課堂上解說大漢溪是大溪發展的泉源，獨特</w:t>
      </w:r>
      <w:proofErr w:type="gramStart"/>
      <w:r w:rsidRPr="00497088">
        <w:rPr>
          <w:rFonts w:ascii="Consolas" w:eastAsia="細明體" w:hAnsi="Consolas" w:cs="Consolas"/>
          <w:color w:val="474747"/>
          <w:kern w:val="0"/>
          <w:szCs w:val="24"/>
        </w:rPr>
        <w:t>的河階地形</w:t>
      </w:r>
      <w:proofErr w:type="gramEnd"/>
      <w:r w:rsidRPr="00497088">
        <w:rPr>
          <w:rFonts w:ascii="Consolas" w:eastAsia="細明體" w:hAnsi="Consolas" w:cs="Consolas"/>
          <w:color w:val="474747"/>
          <w:kern w:val="0"/>
          <w:szCs w:val="24"/>
        </w:rPr>
        <w:t>孕育多樣的水文化。帶學生親自走入大溪在地水文特色與居民生活故事。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 xml:space="preserve"> 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 xml:space="preserve">3. 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藉由地景融入部落關於太陽與傳說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 xml:space="preserve"> 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、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 xml:space="preserve"> 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捕魚打獵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 xml:space="preserve"> 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、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 xml:space="preserve"> </w:t>
      </w:r>
      <w:proofErr w:type="gramStart"/>
      <w:r w:rsidRPr="00497088">
        <w:rPr>
          <w:rFonts w:ascii="Consolas" w:eastAsia="細明體" w:hAnsi="Consolas" w:cs="Consolas"/>
          <w:color w:val="474747"/>
          <w:kern w:val="0"/>
          <w:szCs w:val="24"/>
        </w:rPr>
        <w:t>水窪裡的</w:t>
      </w:r>
      <w:proofErr w:type="gramEnd"/>
      <w:r w:rsidRPr="00497088">
        <w:rPr>
          <w:rFonts w:ascii="Consolas" w:eastAsia="細明體" w:hAnsi="Consolas" w:cs="Consolas"/>
          <w:color w:val="474747"/>
          <w:kern w:val="0"/>
          <w:szCs w:val="24"/>
        </w:rPr>
        <w:t>蝌蚪以及圖騰符號等元素。</w:t>
      </w:r>
    </w:p>
    <w:p w:rsidR="00497088" w:rsidRPr="00497088" w:rsidRDefault="00497088" w:rsidP="00497088">
      <w:pPr>
        <w:widowControl/>
        <w:shd w:val="clear" w:color="auto" w:fill="FFFFFF"/>
        <w:spacing w:after="100" w:afterAutospacing="1"/>
        <w:outlineLvl w:val="3"/>
        <w:rPr>
          <w:rFonts w:ascii="inherit" w:eastAsia="微軟正黑體" w:hAnsi="inherit" w:cs="新細明體" w:hint="eastAsia"/>
          <w:b/>
          <w:bCs/>
          <w:color w:val="292929"/>
          <w:kern w:val="0"/>
          <w:szCs w:val="24"/>
        </w:rPr>
      </w:pPr>
      <w:r w:rsidRPr="00497088">
        <w:rPr>
          <w:rFonts w:ascii="inherit" w:eastAsia="微軟正黑體" w:hAnsi="inherit" w:cs="新細明體"/>
          <w:b/>
          <w:bCs/>
          <w:color w:val="292929"/>
          <w:kern w:val="0"/>
          <w:szCs w:val="24"/>
        </w:rPr>
        <w:t>成果描述：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>1.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學生對生態變遷的認識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>2.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感受歷經時間雕刻的河床與大地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 xml:space="preserve">3 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體驗地景融入生活的美感</w:t>
      </w:r>
    </w:p>
    <w:p w:rsidR="00497088" w:rsidRPr="00497088" w:rsidRDefault="00497088" w:rsidP="00497088">
      <w:pPr>
        <w:widowControl/>
        <w:shd w:val="clear" w:color="auto" w:fill="FFFFFF"/>
        <w:spacing w:after="100" w:afterAutospacing="1"/>
        <w:outlineLvl w:val="3"/>
        <w:rPr>
          <w:rFonts w:ascii="inherit" w:eastAsia="微軟正黑體" w:hAnsi="inherit" w:cs="新細明體" w:hint="eastAsia"/>
          <w:b/>
          <w:bCs/>
          <w:color w:val="292929"/>
          <w:kern w:val="0"/>
          <w:szCs w:val="24"/>
        </w:rPr>
      </w:pPr>
      <w:r w:rsidRPr="00497088">
        <w:rPr>
          <w:rFonts w:ascii="inherit" w:eastAsia="微軟正黑體" w:hAnsi="inherit" w:cs="新細明體"/>
          <w:b/>
          <w:bCs/>
          <w:color w:val="292929"/>
          <w:kern w:val="0"/>
          <w:szCs w:val="24"/>
        </w:rPr>
        <w:t>實施心得：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>1.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學生從</w:t>
      </w:r>
      <w:proofErr w:type="gramStart"/>
      <w:r w:rsidRPr="00497088">
        <w:rPr>
          <w:rFonts w:ascii="Consolas" w:eastAsia="細明體" w:hAnsi="Consolas" w:cs="Consolas"/>
          <w:color w:val="474747"/>
          <w:kern w:val="0"/>
          <w:szCs w:val="24"/>
        </w:rPr>
        <w:t>地景更深入</w:t>
      </w:r>
      <w:proofErr w:type="gramEnd"/>
      <w:r w:rsidRPr="00497088">
        <w:rPr>
          <w:rFonts w:ascii="Consolas" w:eastAsia="細明體" w:hAnsi="Consolas" w:cs="Consolas"/>
          <w:color w:val="474747"/>
          <w:kern w:val="0"/>
          <w:szCs w:val="24"/>
        </w:rPr>
        <w:t>了解生態對環境的影響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>2.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進而從環境得到啟發，認識藝術的元素來自生活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>3.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學生對家鄉的了解有更進一步，更貼近自己</w:t>
      </w:r>
    </w:p>
    <w:p w:rsidR="00497088" w:rsidRPr="00497088" w:rsidRDefault="00497088" w:rsidP="00497088">
      <w:pPr>
        <w:widowControl/>
        <w:shd w:val="clear" w:color="auto" w:fill="FFFFFF"/>
        <w:spacing w:after="100" w:afterAutospacing="1"/>
        <w:outlineLvl w:val="3"/>
        <w:rPr>
          <w:rFonts w:ascii="inherit" w:eastAsia="微軟正黑體" w:hAnsi="inherit" w:cs="新細明體" w:hint="eastAsia"/>
          <w:b/>
          <w:bCs/>
          <w:color w:val="292929"/>
          <w:kern w:val="0"/>
          <w:szCs w:val="24"/>
        </w:rPr>
      </w:pPr>
      <w:r w:rsidRPr="00497088">
        <w:rPr>
          <w:rFonts w:ascii="inherit" w:eastAsia="微軟正黑體" w:hAnsi="inherit" w:cs="新細明體"/>
          <w:b/>
          <w:bCs/>
          <w:color w:val="292929"/>
          <w:kern w:val="0"/>
          <w:szCs w:val="24"/>
        </w:rPr>
        <w:t>學習者心得：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>桃園地景藝術節此次以「川行脈動」為主題，溯源桃園早期發展「大溪區」，以河流作為主軸，探討依附大漢溪水岸流域而生的自然、文化與產業路徑，「川」與「脈」呼應大漢溪如同城市的命脈，成為桃園極為重要的一條母親河。而這重要的母親河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,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這些年因為環境產生各種水汙染及生態遭受外來物種的入侵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,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使的母親不像往日的清澈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,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所以如何採取對環境友善的措施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,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成為非常重要共識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.</w:t>
      </w:r>
    </w:p>
    <w:p w:rsidR="00497088" w:rsidRPr="00497088" w:rsidRDefault="00497088" w:rsidP="00497088">
      <w:pPr>
        <w:widowControl/>
        <w:shd w:val="clear" w:color="auto" w:fill="FFFFFF"/>
        <w:spacing w:after="100" w:afterAutospacing="1"/>
        <w:outlineLvl w:val="3"/>
        <w:rPr>
          <w:rFonts w:ascii="inherit" w:eastAsia="微軟正黑體" w:hAnsi="inherit" w:cs="新細明體" w:hint="eastAsia"/>
          <w:b/>
          <w:bCs/>
          <w:color w:val="292929"/>
          <w:kern w:val="0"/>
          <w:szCs w:val="24"/>
        </w:rPr>
      </w:pPr>
      <w:r w:rsidRPr="00497088">
        <w:rPr>
          <w:rFonts w:ascii="inherit" w:eastAsia="微軟正黑體" w:hAnsi="inherit" w:cs="新細明體"/>
          <w:b/>
          <w:bCs/>
          <w:color w:val="292929"/>
          <w:kern w:val="0"/>
          <w:szCs w:val="24"/>
        </w:rPr>
        <w:lastRenderedPageBreak/>
        <w:t>補充：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>桃園地景藝術節（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Taoyuan Land Art Festival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）自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2013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年開始以無圍牆美術館突破藝術藩籬的地景概念，自此民眾增加了與藝術的親近與互動。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2022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年全世界仍壟罩於</w:t>
      </w:r>
      <w:proofErr w:type="gramStart"/>
      <w:r w:rsidRPr="00497088">
        <w:rPr>
          <w:rFonts w:ascii="Consolas" w:eastAsia="細明體" w:hAnsi="Consolas" w:cs="Consolas"/>
          <w:color w:val="474747"/>
          <w:kern w:val="0"/>
          <w:szCs w:val="24"/>
        </w:rPr>
        <w:t>疫</w:t>
      </w:r>
      <w:proofErr w:type="gramEnd"/>
      <w:r w:rsidRPr="00497088">
        <w:rPr>
          <w:rFonts w:ascii="Consolas" w:eastAsia="細明體" w:hAnsi="Consolas" w:cs="Consolas"/>
          <w:color w:val="474747"/>
          <w:kern w:val="0"/>
          <w:szCs w:val="24"/>
        </w:rPr>
        <w:t>情威脅中，無論自然、人與自然、人與人之間的關係與距離均</w:t>
      </w:r>
      <w:proofErr w:type="gramStart"/>
      <w:r w:rsidRPr="00497088">
        <w:rPr>
          <w:rFonts w:ascii="Consolas" w:eastAsia="細明體" w:hAnsi="Consolas" w:cs="Consolas"/>
          <w:color w:val="474747"/>
          <w:kern w:val="0"/>
          <w:szCs w:val="24"/>
        </w:rPr>
        <w:t>產生新體悟</w:t>
      </w:r>
      <w:proofErr w:type="gramEnd"/>
      <w:r w:rsidRPr="00497088">
        <w:rPr>
          <w:rFonts w:ascii="Consolas" w:eastAsia="細明體" w:hAnsi="Consolas" w:cs="Consolas"/>
          <w:color w:val="474747"/>
          <w:kern w:val="0"/>
          <w:szCs w:val="24"/>
        </w:rPr>
        <w:t>，也藉由參加此活動重新省思在歷史發展過程中，人與自然間關係的變化和共存。「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2022</w:t>
      </w:r>
      <w:r w:rsidRPr="00497088">
        <w:rPr>
          <w:rFonts w:ascii="Consolas" w:eastAsia="細明體" w:hAnsi="Consolas" w:cs="Consolas"/>
          <w:color w:val="474747"/>
          <w:kern w:val="0"/>
          <w:szCs w:val="24"/>
        </w:rPr>
        <w:t>桃園地景藝術節」首次在大溪區辦理，以桃園「大河左岸」為主題，探討大漢溪與城市的關係，結合特殊地景與環境表演藝術。</w:t>
      </w:r>
    </w:p>
    <w:p w:rsidR="00497088" w:rsidRPr="00497088" w:rsidRDefault="00497088" w:rsidP="0049708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474747"/>
          <w:kern w:val="0"/>
          <w:szCs w:val="24"/>
        </w:rPr>
      </w:pPr>
      <w:r w:rsidRPr="00497088">
        <w:rPr>
          <w:rFonts w:ascii="Consolas" w:eastAsia="細明體" w:hAnsi="Consolas" w:cs="Consolas"/>
          <w:color w:val="474747"/>
          <w:kern w:val="0"/>
          <w:szCs w:val="24"/>
        </w:rPr>
        <w:t>本次展區地點包括大</w:t>
      </w:r>
      <w:proofErr w:type="gramStart"/>
      <w:r w:rsidRPr="00497088">
        <w:rPr>
          <w:rFonts w:ascii="Consolas" w:eastAsia="細明體" w:hAnsi="Consolas" w:cs="Consolas"/>
          <w:color w:val="474747"/>
          <w:kern w:val="0"/>
          <w:szCs w:val="24"/>
        </w:rPr>
        <w:t>嵙崁</w:t>
      </w:r>
      <w:proofErr w:type="gramEnd"/>
      <w:r w:rsidRPr="00497088">
        <w:rPr>
          <w:rFonts w:ascii="Consolas" w:eastAsia="細明體" w:hAnsi="Consolas" w:cs="Consolas"/>
          <w:color w:val="474747"/>
          <w:kern w:val="0"/>
          <w:szCs w:val="24"/>
        </w:rPr>
        <w:t>親水園區、中庄調整池、大溪河濱公園，表演活動包括峽谷、高空表演和原住民主題演出。我們將透過多元維度的藝術創作、民眾參與及展演活動等，融入在地生態紋理與人文美學，以符應景觀美學的質感，最終能透過自然與人文的結合，提昇宜居的幸福城市景觀。</w:t>
      </w:r>
    </w:p>
    <w:p w:rsidR="00497088" w:rsidRPr="00497088" w:rsidRDefault="00497088">
      <w:bookmarkStart w:id="0" w:name="_GoBack"/>
      <w:bookmarkEnd w:id="0"/>
    </w:p>
    <w:sectPr w:rsidR="00497088" w:rsidRPr="004970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57AE"/>
    <w:multiLevelType w:val="multilevel"/>
    <w:tmpl w:val="F8CA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64CEE"/>
    <w:multiLevelType w:val="multilevel"/>
    <w:tmpl w:val="0DEA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88"/>
    <w:rsid w:val="00497088"/>
    <w:rsid w:val="006A28A1"/>
    <w:rsid w:val="006A67C5"/>
    <w:rsid w:val="009036AF"/>
    <w:rsid w:val="00AB6B5D"/>
    <w:rsid w:val="00B5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0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74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0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74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7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972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0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1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2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9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3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6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1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6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6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4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3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3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2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3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1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2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33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9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8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5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4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6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5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8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4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21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0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9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6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4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14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8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5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7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2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98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0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3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6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3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9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8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33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3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7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4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1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48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73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4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0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1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0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0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2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6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6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0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0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6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0465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01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4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89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05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7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5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32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20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08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4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23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9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8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76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82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7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2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5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56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9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05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5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059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1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79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7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87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4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4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6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1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9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6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2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5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8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5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9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4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7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61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4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5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6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76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8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6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54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1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0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71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7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63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1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0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5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reenschool.moe.edu.tw/gs2/partner/item.aspx?k=AD0C9AA540BD6AE0E547FE8EAF35321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2.caes.tyc.edu.tw/modules/tad_web/action.php?WebID=3&amp;ActionID=6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2023-03-06T02:49:00Z</dcterms:created>
  <dcterms:modified xsi:type="dcterms:W3CDTF">2023-03-06T03:04:00Z</dcterms:modified>
</cp:coreProperties>
</file>